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AE" w:rsidRPr="00363048" w:rsidRDefault="00363048" w:rsidP="00363048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363048">
        <w:rPr>
          <w:rFonts w:ascii="Times New Roman" w:hAnsi="Times New Roman"/>
          <w:sz w:val="32"/>
          <w:szCs w:val="32"/>
        </w:rPr>
        <w:t>Примерный</w:t>
      </w:r>
    </w:p>
    <w:p w:rsidR="00FB4E8B" w:rsidRDefault="00FB4E8B" w:rsidP="00FB4E8B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F00845">
        <w:rPr>
          <w:rFonts w:ascii="Times New Roman" w:hAnsi="Times New Roman"/>
          <w:sz w:val="32"/>
          <w:szCs w:val="32"/>
        </w:rPr>
        <w:t xml:space="preserve">Перечень вопросов для устного собеседования, </w:t>
      </w:r>
      <w:r w:rsidRPr="00F00845">
        <w:rPr>
          <w:rFonts w:ascii="Times New Roman" w:eastAsia="Calibri" w:hAnsi="Times New Roman"/>
          <w:sz w:val="32"/>
          <w:szCs w:val="32"/>
        </w:rPr>
        <w:t>практических навыков для демонстрации</w:t>
      </w:r>
      <w:r w:rsidRPr="00F00845">
        <w:rPr>
          <w:rFonts w:ascii="Times New Roman" w:hAnsi="Times New Roman"/>
          <w:sz w:val="32"/>
          <w:szCs w:val="32"/>
        </w:rPr>
        <w:t xml:space="preserve"> при проведении аттестационного экзамена на присвоение (подтверждение) </w:t>
      </w:r>
    </w:p>
    <w:p w:rsidR="00FB4E8B" w:rsidRDefault="00AB00A8" w:rsidP="00FB4E8B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перв</w:t>
      </w:r>
      <w:r w:rsidR="00FB4E8B" w:rsidRPr="00F00845">
        <w:rPr>
          <w:rFonts w:ascii="Times New Roman" w:hAnsi="Times New Roman"/>
          <w:b/>
          <w:sz w:val="32"/>
          <w:szCs w:val="32"/>
        </w:rPr>
        <w:t xml:space="preserve">ой </w:t>
      </w:r>
      <w:r w:rsidR="00FB4E8B" w:rsidRPr="00F00845">
        <w:rPr>
          <w:rFonts w:ascii="Times New Roman" w:hAnsi="Times New Roman"/>
          <w:sz w:val="32"/>
          <w:szCs w:val="32"/>
        </w:rPr>
        <w:t xml:space="preserve">квалификационной категории </w:t>
      </w:r>
    </w:p>
    <w:p w:rsidR="00FB4E8B" w:rsidRPr="00F00845" w:rsidRDefault="00FB4E8B" w:rsidP="00FB4E8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F00845">
        <w:rPr>
          <w:rFonts w:ascii="Times New Roman" w:hAnsi="Times New Roman"/>
          <w:sz w:val="32"/>
          <w:szCs w:val="32"/>
        </w:rPr>
        <w:t xml:space="preserve">по квалификации </w:t>
      </w:r>
      <w:r>
        <w:rPr>
          <w:rFonts w:ascii="Times New Roman" w:hAnsi="Times New Roman"/>
          <w:b/>
          <w:sz w:val="32"/>
          <w:szCs w:val="32"/>
        </w:rPr>
        <w:t>"</w:t>
      </w:r>
      <w:r w:rsidRPr="00F00845">
        <w:rPr>
          <w:rFonts w:ascii="Times New Roman" w:hAnsi="Times New Roman"/>
          <w:b/>
          <w:sz w:val="32"/>
          <w:szCs w:val="32"/>
        </w:rPr>
        <w:t>врач общей практики</w:t>
      </w:r>
      <w:r>
        <w:rPr>
          <w:rFonts w:ascii="Times New Roman" w:hAnsi="Times New Roman"/>
          <w:b/>
          <w:sz w:val="32"/>
          <w:szCs w:val="32"/>
        </w:rPr>
        <w:t>"</w:t>
      </w:r>
    </w:p>
    <w:p w:rsidR="00C521CA" w:rsidRPr="00C12379" w:rsidRDefault="00C521CA" w:rsidP="005B30F3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</w:rPr>
      </w:pPr>
    </w:p>
    <w:p w:rsidR="00C521CA" w:rsidRPr="002F1579" w:rsidRDefault="00C521CA" w:rsidP="00C521CA">
      <w:pPr>
        <w:tabs>
          <w:tab w:val="left" w:pos="1905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 w:rsidRPr="002F1579">
        <w:rPr>
          <w:rFonts w:ascii="Times New Roman" w:hAnsi="Times New Roman"/>
          <w:b/>
          <w:i/>
          <w:sz w:val="32"/>
          <w:szCs w:val="32"/>
        </w:rPr>
        <w:t xml:space="preserve">Вопросы по квалификации </w:t>
      </w:r>
      <w:r w:rsidR="00FB4E8B" w:rsidRPr="002F1579">
        <w:rPr>
          <w:rFonts w:ascii="Times New Roman" w:hAnsi="Times New Roman"/>
          <w:b/>
          <w:i/>
          <w:sz w:val="32"/>
          <w:szCs w:val="32"/>
        </w:rPr>
        <w:t>"</w:t>
      </w:r>
      <w:r w:rsidR="004E0A0E" w:rsidRPr="002F1579">
        <w:rPr>
          <w:rFonts w:ascii="Times New Roman" w:hAnsi="Times New Roman"/>
          <w:b/>
          <w:i/>
          <w:sz w:val="32"/>
          <w:szCs w:val="32"/>
        </w:rPr>
        <w:t>врач</w:t>
      </w:r>
      <w:r w:rsidR="008A1737" w:rsidRPr="002F1579">
        <w:rPr>
          <w:rFonts w:ascii="Times New Roman" w:hAnsi="Times New Roman"/>
          <w:b/>
          <w:i/>
          <w:sz w:val="32"/>
          <w:szCs w:val="32"/>
        </w:rPr>
        <w:t xml:space="preserve"> общей практики</w:t>
      </w:r>
      <w:r w:rsidR="00FB4E8B" w:rsidRPr="002F1579">
        <w:rPr>
          <w:rFonts w:ascii="Times New Roman" w:hAnsi="Times New Roman"/>
          <w:b/>
          <w:i/>
          <w:sz w:val="32"/>
          <w:szCs w:val="32"/>
        </w:rPr>
        <w:t>"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B012BF" w:rsidRPr="00FB4E8B" w:rsidTr="00C521CA">
        <w:tc>
          <w:tcPr>
            <w:tcW w:w="704" w:type="dxa"/>
          </w:tcPr>
          <w:p w:rsidR="00B012BF" w:rsidRPr="00FB4E8B" w:rsidRDefault="00B012BF" w:rsidP="00B012BF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B012BF" w:rsidRPr="00FB4E8B" w:rsidRDefault="00B012BF" w:rsidP="00BB6ABE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B6ABE" w:rsidRPr="00FB4E8B" w:rsidTr="00C521CA">
        <w:tc>
          <w:tcPr>
            <w:tcW w:w="704" w:type="dxa"/>
          </w:tcPr>
          <w:p w:rsidR="00BB6ABE" w:rsidRPr="00FB4E8B" w:rsidRDefault="00BB6ABE" w:rsidP="00BB6AB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BB6ABE" w:rsidRPr="00FB4E8B" w:rsidRDefault="00FA688C" w:rsidP="00FA688C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Внебольничная пневмония: диагностика, дифференциальная диагностика, лечение,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tabs>
                <w:tab w:val="left" w:pos="1185"/>
              </w:tabs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Бронхиальная астма: факторы риска, диагностика, дифференциальная диагностика, ступенчатая терапия, критерии контролируемого лечения, неотложная медицинская помощи при астматическом статусе,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Острая респираторная вирусная инфекция: этиология, диагностика, дифференциальная диагностика, принципы лечения, осложнения, вакцинопрофилактика.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Неотложные состояния в пульмонологии: классификация, диагностические критерии, оказание неотложной медицинской помощи, тактика врача общей практики, прогноз.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Одышка: этиология, патогенез, клиническая картина, диагностика, дифференциальная диагностика, лечение.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 xml:space="preserve">Боль в груди: алгоритм дифференциальной диагностики, принципы лечения, тактика врача общей практики. 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Ишемическая болезнь сердца: классификация, диагностические критерии, принципы лечения, прогноз, профилактика, тактика врача общей практики при острых и хронических формах.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EE3A3A" w:rsidRPr="00FB4E8B" w:rsidRDefault="00EE3A3A" w:rsidP="00FB4E8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Острый коронарный синдром без подъема сегмента ST, с подъемом сегмента ST: диагностические критерии, принципы лечения, тактика врача общей практики, прогноз, реабилитация.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EE3A3A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Стенокардия: классификация, диагностические критерии, методы функциональной диагностики, дифференциальный диагноз, лечение, прогноз. Тактика врача общей практики.</w:t>
            </w:r>
          </w:p>
          <w:p w:rsidR="00363048" w:rsidRPr="00FB4E8B" w:rsidRDefault="00363048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10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Инфаркт миокарда: классификация, диагностические критерии, тактика врача общей практик, лечение на </w:t>
            </w: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догоспитальном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 этапе, прогноз.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Артериальная гипертензия: классификация, диагностические критерии, принципы лечения, диспансеризация, прогноз, первичная и вторичная профилактика, тактика врача общей практики. Гипертонические кризы: принципы лечения, показания к госпитализации,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Гипертонические кризы: классификация, диагностические критерии, осложнения, принципы лечения, показания к госпитализации,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13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Тромбоэмболия легочной артерии: </w:t>
            </w: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этиопатогенез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, основные клинические проявления, инструментальные критерии диагностики, принципы лечения,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Хроническая сердечная недостаточность: классификация, диагностические критерии, принципы лечения,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Системные заболевания соединительной ткани: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Подагра: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17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Остеопороз: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Синдром желудочной диспепсии: алгоритм дифференциальной диагностики, тактика врача общей практики. Функциональные </w:t>
            </w: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гастродуоденальные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 расстройства: диагностические критерии. 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Язва желудка и 12-ти перстной кишки: классификация, клинические и патофизиологические варианты, диагностика, дифференциальная диагностика критерии оценки степени тяжести.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20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Неспецифический язвенный колит: классификация, </w:t>
            </w: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патоморфогенез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, клинические формы, осложнения, </w:t>
            </w: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lastRenderedPageBreak/>
              <w:t>диагностика, дифференциальная диагностика, лечение.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21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Острый и хронический холецистит: клинические проявления, диагностика, дифференциальная диагностика, лечение,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22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Хронический гепатит: классификация, морфологические и клинические параллели, осложнения, диагностика, дифференциальная диагностика, лечение. 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23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Цирроз печени: классификация, диагностика, дифференциальная диагностика, осложнения, принципы лечения,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24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Гломерулонефриты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25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Пиелонефриты: классификация, диагностические критерии, осложнения, дифференциальная диагностика, лечение,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26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Почечная колика, острая задержка мочи. Клинические проявления, диагностика, неотложная помощь. 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27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Классификация анемий, клинико-лабораторная характеристика основных патофизиологических вариантов анемий, лечение.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28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Сахарный диабет: классификация, современные принципы диагностики и лечения сахарного диабета 2 типа, прогноз,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29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Заболевания щитовидной железы: классификация, дифференциальная диагностика, лечение,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30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Ожирение и метаболический синдром: критерии диагностики, влияние на течение заболеваний внутренних органов, профилактика,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31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Мигрень: факторы риска, клинические проявления, осложнения, лечение. Неотложная медицинская помощь при </w:t>
            </w: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мигренозном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 xml:space="preserve"> статусе.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32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Головная боль напряжения: причины, диагностика, лечение. Симптомы зависимости головной боли от приема лекарственных средств, диагностика, тактика ведения.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33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 xml:space="preserve">Тревожные расстройства: основные формы, диагностика, лечение, тактика врача общей практики, показания для </w:t>
            </w:r>
            <w:r w:rsidRPr="00FB4E8B">
              <w:rPr>
                <w:rFonts w:ascii="Times New Roman" w:hAnsi="Times New Roman"/>
                <w:sz w:val="32"/>
                <w:szCs w:val="32"/>
              </w:rPr>
              <w:lastRenderedPageBreak/>
              <w:t>направления к врачу-психиатру-наркологу, врачу-психотерапевту.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34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Депрессия: клинические проявления, диагностика, лечение, тактика врача общей практики, показания для направления к врачу-психиатру-наркологу, врачу-психотерапевту.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35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Деменция: клиника, виды, лечение, решение экспертных вопросов, организация ухода.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36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Расстройства сна: виды, диагностика, лечение.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37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  <w:t>Зависимость от алкоголя, от наркотических веществ: клиника, диагностические критерии, лечебно-реабилитационные и профилактические мероприятия.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38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 w:bidi="ru-RU"/>
              </w:rPr>
              <w:t>Лихорадка: определение понятия, причины, виды, дифференциальная диагностика. Принципы организации диагностического поиска у длительно лихорадящих пациентов.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39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 w:bidi="ru-RU"/>
              </w:rPr>
              <w:t>Острый тонзиллит: этиология, патогенез, клинические формы, лечение, профилактика</w:t>
            </w:r>
            <w:r w:rsidR="00FB4E8B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 w:bidi="ru-RU"/>
              </w:rPr>
              <w:t>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40</w:t>
            </w:r>
          </w:p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 w:bidi="ru-RU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 xml:space="preserve">Острый ринит, </w:t>
            </w:r>
            <w:proofErr w:type="spellStart"/>
            <w:r w:rsidRPr="00FB4E8B">
              <w:rPr>
                <w:rFonts w:ascii="Times New Roman" w:hAnsi="Times New Roman"/>
                <w:sz w:val="32"/>
                <w:szCs w:val="32"/>
              </w:rPr>
              <w:t>назофарингит</w:t>
            </w:r>
            <w:proofErr w:type="spellEnd"/>
            <w:r w:rsidRPr="00FB4E8B">
              <w:rPr>
                <w:rFonts w:ascii="Times New Roman" w:hAnsi="Times New Roman"/>
                <w:sz w:val="32"/>
                <w:szCs w:val="32"/>
              </w:rPr>
              <w:t>, фарингит у взрослых и детей. Клинические проявления. Диагностика.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41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Острые и хронические синуситы. Клинические проявления. Диагностика. Оказание медицинской помощи врачом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42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Острые наружный и средний отиты у взрослых и детей. Лечение в компетенции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43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Глаукомы: диагностика, оказание медицинской помощи врачом общей практики. Неотложная помощь при остром приступе глаукомы.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44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 xml:space="preserve">Синдромом диареи при инфекционных заболеваниях (дизентерия, сальмонеллез, пищевые </w:t>
            </w:r>
            <w:proofErr w:type="spellStart"/>
            <w:r w:rsidRPr="00FB4E8B">
              <w:rPr>
                <w:rFonts w:ascii="Times New Roman" w:hAnsi="Times New Roman"/>
                <w:sz w:val="32"/>
                <w:szCs w:val="32"/>
              </w:rPr>
              <w:t>токсикоинфекции</w:t>
            </w:r>
            <w:proofErr w:type="spellEnd"/>
            <w:r w:rsidRPr="00FB4E8B">
              <w:rPr>
                <w:rFonts w:ascii="Times New Roman" w:hAnsi="Times New Roman"/>
                <w:sz w:val="32"/>
                <w:szCs w:val="32"/>
              </w:rPr>
              <w:t>, ботулизм). Дифференциальная диагностика инфекционных и неинфекционных диарей.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45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Наиболее значимые особо опасные инфекции (сибирская язва, чума, туляремия, холера), лабораторная и экспресс-диагностика, принципы лечения, профилактики, порядок действия при подозрении на особо опасную инфекцию.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46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Грибковые заболевания кожи и ногтей: клинические проявления, диагностика,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47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/>
              </w:rPr>
              <w:t>Псориаз: клинические проявления, диагностика, тактика врача общей практики</w:t>
            </w:r>
            <w:r w:rsidR="00FB4E8B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/>
              </w:rPr>
              <w:t>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lastRenderedPageBreak/>
              <w:t>48</w:t>
            </w:r>
          </w:p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  <w:tc>
          <w:tcPr>
            <w:tcW w:w="8641" w:type="dxa"/>
          </w:tcPr>
          <w:p w:rsidR="00EE3A3A" w:rsidRPr="00FB4E8B" w:rsidRDefault="00EE3A3A" w:rsidP="00EE3A3A">
            <w:pPr>
              <w:contextualSpacing/>
              <w:jc w:val="both"/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bCs/>
                <w:iCs/>
                <w:color w:val="auto"/>
                <w:sz w:val="32"/>
                <w:szCs w:val="32"/>
                <w:lang w:eastAsia="en-US"/>
              </w:rPr>
              <w:t>Сифилис, гонорея, трихомониаз: клинические проявления, диагностика,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49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Диагностика расстройств менструальной функции. Дифференциальная диагностика предменструального синдрома.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50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Пневмония у детей: причины возникновения, клинические проявления, диагностики, принципы лечения, тактика врача общей практики. Бронхиты у детей, принципы диагностики и лечения. Диспансеризация. 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51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Бронхиальная астма у детей: факторы риска, причины возникновения, симптомы, диагностика, лечение. Купирование приступа бронхиальной астмы у детей.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52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tabs>
                <w:tab w:val="left" w:pos="1155"/>
              </w:tabs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Новообразования кожи. Клинические проявления, диагностика.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53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jc w:val="both"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FB4E8B">
              <w:rPr>
                <w:rFonts w:ascii="Times New Roman" w:hAnsi="Times New Roman"/>
                <w:sz w:val="32"/>
                <w:szCs w:val="32"/>
              </w:rPr>
              <w:t>Терминальные состояния. Клиническая, биологическая смерть. Лёгочно-сердечная реанимация: техника непрямого массажа сердца, искусственного дыхания, критерии эффективности.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54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Шок (анафилактический, </w:t>
            </w:r>
            <w:proofErr w:type="spellStart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экзотоксический</w:t>
            </w:r>
            <w:proofErr w:type="spellEnd"/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, травматический, геморрагический, кардиогенный и др.): клинические проявления, диагностика, неотложная помощь,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55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Комы: алгоритм дифференциальной диагностики, тактика врача общей практики, неотложная помощь.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56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Острые нарушения мозгового кровообращения: этиология, клинические проявления, диагностика, дифференциальная диагностика инфаркта мозга и внутримозгового кровообращения,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57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tabs>
                <w:tab w:val="left" w:pos="993"/>
              </w:tabs>
              <w:jc w:val="both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FB4E8B">
              <w:rPr>
                <w:rFonts w:ascii="Times New Roman" w:hAnsi="Times New Roman"/>
                <w:color w:val="000000" w:themeColor="text1"/>
                <w:sz w:val="32"/>
                <w:szCs w:val="32"/>
                <w:lang w:bidi="ru-RU"/>
              </w:rPr>
              <w:t>Переломы опорно-двигательного аппарата: клинические проявления, диагностика, 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58</w:t>
            </w:r>
          </w:p>
        </w:tc>
        <w:tc>
          <w:tcPr>
            <w:tcW w:w="8641" w:type="dxa"/>
          </w:tcPr>
          <w:p w:rsidR="00EE3A3A" w:rsidRPr="00FB4E8B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Кровотечения: классификация, клиническая симптоматика, оценка кровопотери,</w:t>
            </w:r>
            <w:r w:rsidRPr="00FB4E8B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тактика врача общей практики.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59</w:t>
            </w:r>
          </w:p>
        </w:tc>
        <w:tc>
          <w:tcPr>
            <w:tcW w:w="8641" w:type="dxa"/>
          </w:tcPr>
          <w:p w:rsidR="00AB00A8" w:rsidRPr="00FB4E8B" w:rsidRDefault="00EE3A3A" w:rsidP="00363048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 xml:space="preserve">Ожоги: критерии диагностики степени тяжести, лечение ожоговых ран, показания для госпитализации, тактика врача общей практики. </w:t>
            </w:r>
          </w:p>
        </w:tc>
      </w:tr>
      <w:tr w:rsidR="00EE3A3A" w:rsidRPr="00FB4E8B" w:rsidTr="00C521CA">
        <w:tc>
          <w:tcPr>
            <w:tcW w:w="704" w:type="dxa"/>
          </w:tcPr>
          <w:p w:rsidR="00EE3A3A" w:rsidRPr="00FB4E8B" w:rsidRDefault="00EE3A3A" w:rsidP="00EE3A3A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B4E8B">
              <w:rPr>
                <w:rFonts w:ascii="Times New Roman" w:hAnsi="Times New Roman"/>
                <w:sz w:val="32"/>
                <w:szCs w:val="32"/>
                <w:lang w:val="en-US"/>
              </w:rPr>
              <w:t>60</w:t>
            </w:r>
          </w:p>
        </w:tc>
        <w:tc>
          <w:tcPr>
            <w:tcW w:w="8641" w:type="dxa"/>
          </w:tcPr>
          <w:p w:rsidR="00EE3A3A" w:rsidRDefault="00EE3A3A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  <w:r w:rsidRPr="00FB4E8B"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  <w:t>Отморожения: критерии диагностики степени тяжести, осложнения, показания для госпитализации, тактика врача общей практики.</w:t>
            </w:r>
          </w:p>
          <w:p w:rsidR="00363048" w:rsidRDefault="00363048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color w:val="auto"/>
                <w:sz w:val="32"/>
                <w:szCs w:val="32"/>
                <w:lang w:eastAsia="en-US"/>
              </w:rPr>
            </w:pPr>
          </w:p>
          <w:p w:rsidR="00363048" w:rsidRPr="00FB4E8B" w:rsidRDefault="00363048" w:rsidP="00EE3A3A">
            <w:pPr>
              <w:widowControl w:val="0"/>
              <w:contextualSpacing/>
              <w:jc w:val="both"/>
              <w:rPr>
                <w:rFonts w:ascii="Times New Roman" w:eastAsia="Calibri" w:hAnsi="Times New Roman"/>
                <w:sz w:val="32"/>
                <w:szCs w:val="32"/>
                <w:lang w:eastAsia="en-US"/>
              </w:rPr>
            </w:pPr>
          </w:p>
        </w:tc>
      </w:tr>
      <w:tr w:rsidR="00FB4E8B" w:rsidTr="00486805">
        <w:tc>
          <w:tcPr>
            <w:tcW w:w="704" w:type="dxa"/>
          </w:tcPr>
          <w:p w:rsidR="00FB4E8B" w:rsidRPr="00D8366C" w:rsidRDefault="00FB4E8B" w:rsidP="0048680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FB4E8B" w:rsidRPr="00D04FA1" w:rsidRDefault="00FB4E8B" w:rsidP="00486805">
            <w:pPr>
              <w:pStyle w:val="2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Вопросы по 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о</w:t>
            </w: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>рганизаци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и</w:t>
            </w: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здравоохранения и общественно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му </w:t>
            </w:r>
            <w:r w:rsidRPr="00D04FA1">
              <w:rPr>
                <w:rFonts w:ascii="Times New Roman" w:hAnsi="Times New Roman"/>
                <w:b/>
                <w:i/>
                <w:sz w:val="32"/>
                <w:szCs w:val="32"/>
              </w:rPr>
              <w:t>здоровь</w:t>
            </w: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ю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Законодательные основы здравоохранения Республики Беларусь.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Общественное здоровье и здравоохранение как ресурс социально-экономического развития государства.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Здоровье населения и методы его изучения.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Основные принципы государственной политики Республики Беларусь в области здравоохранения.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 xml:space="preserve">Государственные минимальные социальные стандарты </w:t>
            </w:r>
            <w:r w:rsidRPr="00AB4473">
              <w:rPr>
                <w:rFonts w:ascii="Times New Roman" w:hAnsi="Times New Roman"/>
                <w:sz w:val="32"/>
                <w:szCs w:val="32"/>
              </w:rPr>
              <w:br/>
              <w:t>в области здравоохранения как основа доступного медицинского обслуживания населения.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Структура здравоохранения Республики Беларусь. Система управления здравоохранением Республики Беларусь.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Концепция санаторно-курортного лечения и оздоровления населения Республики Беларусь.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Медицинская составляющая путевок на санаторно-курортное лечение, оздоровление.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6C47E0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Критерии оценки медицинской эффективности деятельности санаторно-курортных организаций.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 xml:space="preserve">Организация оказания медицинской помощи населению </w:t>
            </w:r>
            <w:r w:rsidRPr="00AB4473">
              <w:rPr>
                <w:rFonts w:ascii="Times New Roman" w:hAnsi="Times New Roman"/>
                <w:sz w:val="32"/>
                <w:szCs w:val="32"/>
              </w:rPr>
              <w:br/>
              <w:t xml:space="preserve">в амбулаторных условиях. 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 xml:space="preserve">Организация оказания специализированной </w:t>
            </w:r>
            <w:r w:rsidRPr="00AB4473">
              <w:rPr>
                <w:rFonts w:ascii="Times New Roman" w:hAnsi="Times New Roman"/>
                <w:sz w:val="32"/>
                <w:szCs w:val="32"/>
              </w:rPr>
              <w:br/>
              <w:t>и высокотехнологичной медицинской помощи населению.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Организация оказания скорой медицинской помощи населению.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Неинфекционные заболевания как проблема общественного здравоохранения.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Инфекционные заболевания как проблема общественного здравоохранения.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Организация обеспечения санитарно-эпидемиологического благополучия населения Республики Беларусь.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Всемирная организация здравоохранения. Цель и задачи.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Медицинская этика и деонтология.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Профессиональная подготовка и формирование кадров системы здравоохранения Республики Беларусь.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8641" w:type="dxa"/>
          </w:tcPr>
          <w:p w:rsidR="00FB4E8B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Основные направления Государственной программы "Здоровье нации" на 2026 - 2030 годы.</w:t>
            </w:r>
          </w:p>
          <w:p w:rsidR="00363048" w:rsidRPr="00AB4473" w:rsidRDefault="00363048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6C47E0" w:rsidP="00486805">
            <w:pPr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lastRenderedPageBreak/>
              <w:t>8</w:t>
            </w:r>
            <w:r w:rsidR="00FB4E8B" w:rsidRPr="00AB4473">
              <w:rPr>
                <w:rFonts w:ascii="Times New Roman" w:hAnsi="Times New Roman"/>
                <w:sz w:val="32"/>
                <w:szCs w:val="32"/>
                <w:lang w:val="en-US"/>
              </w:rPr>
              <w:t>0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trike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Санаторно-курортное лечение и оздоровление лиц пострадавших от последствий катастрофы на Чернобыльской АЭС в рамках Государственной программы "Здоровье нации" на 2026 - 2030 годы.</w:t>
            </w:r>
          </w:p>
        </w:tc>
      </w:tr>
    </w:tbl>
    <w:p w:rsidR="00FB4E8B" w:rsidRPr="00AB4473" w:rsidRDefault="00FB4E8B" w:rsidP="00FB4E8B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B4E8B" w:rsidRPr="00AB4473" w:rsidRDefault="00FB4E8B" w:rsidP="00FB4E8B">
      <w:pPr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AB4473">
        <w:rPr>
          <w:rFonts w:ascii="Times New Roman" w:eastAsia="Calibri" w:hAnsi="Times New Roman"/>
          <w:b/>
          <w:sz w:val="32"/>
          <w:szCs w:val="32"/>
        </w:rPr>
        <w:t>Перечень практических навыков для демонстрации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41"/>
      </w:tblGrid>
      <w:tr w:rsidR="00FB4E8B" w:rsidRPr="00AB4473" w:rsidTr="00486805">
        <w:tc>
          <w:tcPr>
            <w:tcW w:w="704" w:type="dxa"/>
          </w:tcPr>
          <w:p w:rsidR="00FB4E8B" w:rsidRPr="00AB4473" w:rsidRDefault="00FB4E8B" w:rsidP="00486805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8641" w:type="dxa"/>
          </w:tcPr>
          <w:p w:rsidR="00FB4E8B" w:rsidRPr="00AB4473" w:rsidRDefault="00FB4E8B" w:rsidP="00486805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FB4E8B" w:rsidP="00486805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AB4473">
              <w:rPr>
                <w:rFonts w:ascii="Times New Roman" w:eastAsia="Calibri" w:hAnsi="Times New Roman"/>
                <w:sz w:val="32"/>
                <w:szCs w:val="32"/>
              </w:rPr>
              <w:t>1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Базовая сердечно-легочная реанимация.</w:t>
            </w:r>
          </w:p>
        </w:tc>
      </w:tr>
      <w:tr w:rsidR="00FB4E8B" w:rsidRPr="00AB4473" w:rsidTr="00486805">
        <w:tc>
          <w:tcPr>
            <w:tcW w:w="704" w:type="dxa"/>
          </w:tcPr>
          <w:p w:rsidR="00FB4E8B" w:rsidRPr="00AB4473" w:rsidRDefault="00FB4E8B" w:rsidP="00486805">
            <w:pPr>
              <w:widowControl w:val="0"/>
              <w:tabs>
                <w:tab w:val="left" w:pos="1405"/>
                <w:tab w:val="left" w:pos="1905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AB4473">
              <w:rPr>
                <w:rFonts w:ascii="Times New Roman" w:eastAsia="Calibri" w:hAnsi="Times New Roman"/>
                <w:sz w:val="32"/>
                <w:szCs w:val="32"/>
              </w:rPr>
              <w:t>2</w:t>
            </w:r>
          </w:p>
        </w:tc>
        <w:tc>
          <w:tcPr>
            <w:tcW w:w="8641" w:type="dxa"/>
          </w:tcPr>
          <w:p w:rsidR="00FB4E8B" w:rsidRPr="00AB4473" w:rsidRDefault="00FB4E8B" w:rsidP="00486805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B4473">
              <w:rPr>
                <w:rFonts w:ascii="Times New Roman" w:hAnsi="Times New Roman"/>
                <w:sz w:val="32"/>
                <w:szCs w:val="32"/>
              </w:rPr>
              <w:t>Применение дефибриллятора.</w:t>
            </w:r>
          </w:p>
        </w:tc>
      </w:tr>
    </w:tbl>
    <w:p w:rsidR="00FB4E8B" w:rsidRPr="002107F3" w:rsidRDefault="00FB4E8B" w:rsidP="00FB4E8B">
      <w:pPr>
        <w:pStyle w:val="aa"/>
        <w:widowControl w:val="0"/>
        <w:tabs>
          <w:tab w:val="left" w:pos="1405"/>
          <w:tab w:val="left" w:pos="19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B4E8B" w:rsidRDefault="00FB4E8B" w:rsidP="00FB4E8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  <w:r w:rsidRPr="00D04FA1">
        <w:rPr>
          <w:rFonts w:ascii="Times New Roman" w:eastAsia="Calibri" w:hAnsi="Times New Roman"/>
          <w:i/>
          <w:sz w:val="32"/>
          <w:szCs w:val="32"/>
        </w:rPr>
        <w:t xml:space="preserve">Выписка из </w:t>
      </w:r>
      <w:r w:rsidRPr="00D04FA1">
        <w:rPr>
          <w:rFonts w:ascii="Times New Roman" w:hAnsi="Times New Roman"/>
          <w:i/>
          <w:sz w:val="32"/>
          <w:szCs w:val="32"/>
        </w:rPr>
        <w:t xml:space="preserve">Положения об аттестационной комиссии </w:t>
      </w:r>
    </w:p>
    <w:p w:rsidR="00FB4E8B" w:rsidRDefault="00FB4E8B" w:rsidP="00FB4E8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8F4823">
        <w:rPr>
          <w:rFonts w:ascii="Times New Roman" w:hAnsi="Times New Roman"/>
          <w:i/>
          <w:sz w:val="32"/>
          <w:szCs w:val="32"/>
        </w:rPr>
        <w:t>Учреждения "Дирекция по управлению собственностью Ф</w:t>
      </w:r>
      <w:r>
        <w:rPr>
          <w:rFonts w:ascii="Times New Roman" w:hAnsi="Times New Roman"/>
          <w:i/>
          <w:sz w:val="32"/>
          <w:szCs w:val="32"/>
        </w:rPr>
        <w:t>едерации профсоюзов Беларуси</w:t>
      </w:r>
      <w:r w:rsidRPr="008F4823">
        <w:rPr>
          <w:rFonts w:ascii="Times New Roman" w:hAnsi="Times New Roman"/>
          <w:i/>
          <w:sz w:val="32"/>
          <w:szCs w:val="32"/>
        </w:rPr>
        <w:t>"</w:t>
      </w:r>
    </w:p>
    <w:p w:rsidR="00FB4E8B" w:rsidRPr="008F4823" w:rsidRDefault="00FB4E8B" w:rsidP="00FB4E8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D04FA1">
        <w:rPr>
          <w:rFonts w:ascii="Times New Roman" w:hAnsi="Times New Roman"/>
          <w:i/>
          <w:sz w:val="32"/>
          <w:szCs w:val="32"/>
        </w:rPr>
        <w:t xml:space="preserve">(приказ </w:t>
      </w:r>
      <w:r w:rsidRPr="008F4823">
        <w:rPr>
          <w:rFonts w:ascii="Times New Roman" w:hAnsi="Times New Roman"/>
          <w:i/>
          <w:sz w:val="32"/>
          <w:szCs w:val="32"/>
        </w:rPr>
        <w:t>Учреждения "Дирекция по управлению собственностью ФПБ"</w:t>
      </w:r>
      <w:r>
        <w:rPr>
          <w:rFonts w:ascii="Times New Roman" w:hAnsi="Times New Roman"/>
          <w:i/>
          <w:sz w:val="32"/>
          <w:szCs w:val="32"/>
        </w:rPr>
        <w:t xml:space="preserve"> от 22</w:t>
      </w:r>
      <w:r w:rsidRPr="00D04FA1">
        <w:rPr>
          <w:rFonts w:ascii="Times New Roman" w:hAnsi="Times New Roman"/>
          <w:i/>
          <w:sz w:val="32"/>
          <w:szCs w:val="32"/>
        </w:rPr>
        <w:t>.</w:t>
      </w:r>
      <w:r>
        <w:rPr>
          <w:rFonts w:ascii="Times New Roman" w:hAnsi="Times New Roman"/>
          <w:i/>
          <w:sz w:val="32"/>
          <w:szCs w:val="32"/>
        </w:rPr>
        <w:t>12</w:t>
      </w:r>
      <w:r w:rsidRPr="00D04FA1">
        <w:rPr>
          <w:rFonts w:ascii="Times New Roman" w:hAnsi="Times New Roman"/>
          <w:i/>
          <w:sz w:val="32"/>
          <w:szCs w:val="32"/>
        </w:rPr>
        <w:t>.202</w:t>
      </w:r>
      <w:r>
        <w:rPr>
          <w:rFonts w:ascii="Times New Roman" w:hAnsi="Times New Roman"/>
          <w:i/>
          <w:sz w:val="32"/>
          <w:szCs w:val="32"/>
        </w:rPr>
        <w:t>5</w:t>
      </w:r>
      <w:r w:rsidRPr="00D04FA1">
        <w:rPr>
          <w:rFonts w:ascii="Times New Roman" w:hAnsi="Times New Roman"/>
          <w:i/>
          <w:sz w:val="32"/>
          <w:szCs w:val="32"/>
        </w:rPr>
        <w:t xml:space="preserve"> № </w:t>
      </w:r>
      <w:r>
        <w:rPr>
          <w:rFonts w:ascii="Times New Roman" w:hAnsi="Times New Roman"/>
          <w:i/>
          <w:sz w:val="32"/>
          <w:szCs w:val="32"/>
        </w:rPr>
        <w:t>72-ОД</w:t>
      </w:r>
      <w:r w:rsidRPr="00D04FA1">
        <w:rPr>
          <w:rFonts w:ascii="Times New Roman" w:hAnsi="Times New Roman"/>
          <w:i/>
          <w:sz w:val="32"/>
          <w:szCs w:val="32"/>
        </w:rPr>
        <w:t>)</w:t>
      </w:r>
    </w:p>
    <w:p w:rsidR="00FB4E8B" w:rsidRDefault="00FB4E8B" w:rsidP="00FB4E8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</w:p>
    <w:p w:rsidR="00FB4E8B" w:rsidRPr="0003010A" w:rsidRDefault="00FB4E8B" w:rsidP="00FB4E8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27. Аттестационный экзамен состоит из двух этапов </w:t>
      </w: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 xml:space="preserve">и проводится в виде компьютерного тестирования, устного собеседования с решением ситуационных задач и демонстрацией практических навыков (далее – устное собеседование). </w:t>
      </w:r>
    </w:p>
    <w:p w:rsidR="00FB4E8B" w:rsidRPr="0003010A" w:rsidRDefault="00FB4E8B" w:rsidP="00FB4E8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03010A">
        <w:rPr>
          <w:rFonts w:ascii="Times New Roman" w:eastAsia="Calibri" w:hAnsi="Times New Roman"/>
          <w:color w:val="auto"/>
          <w:sz w:val="32"/>
          <w:szCs w:val="32"/>
          <w:lang w:eastAsia="en-US"/>
        </w:rPr>
        <w:t>Устное собеседование проводится не ранее, чем на следующий день после проведения компьютерного тестирования.</w:t>
      </w:r>
    </w:p>
    <w:p w:rsidR="00FB4E8B" w:rsidRPr="008F4823" w:rsidRDefault="00FB4E8B" w:rsidP="00FB4E8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39. Устное собеседование проводится по экзаменационным билетам, включающим четыре теоретических вопроса, из них три вопроса по соответствующей квалификации и один вопрос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по общественному здоровью и (или) организации здравоохранения.</w:t>
      </w:r>
    </w:p>
    <w:p w:rsidR="00FB4E8B" w:rsidRPr="008F4823" w:rsidRDefault="00FB4E8B" w:rsidP="00FB4E8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>Устное собеседование на присвоение (подтверждение) второй квалификационной категории включает три теоретических вопроса, из них два вопроса по соответствующей квалификации и один вопрос по общественному здоровью и (или) организации здравоохранения.</w:t>
      </w:r>
    </w:p>
    <w:p w:rsidR="00FB4E8B" w:rsidRPr="008F4823" w:rsidRDefault="00FB4E8B" w:rsidP="00FB4E8B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 xml:space="preserve">Дополнительно к билету, аттестуемому предлагается задание </w:t>
      </w: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br/>
        <w:t>в виде ситуационной задачи и практического навыка.</w:t>
      </w:r>
    </w:p>
    <w:p w:rsidR="00BF3750" w:rsidRPr="00C42A06" w:rsidRDefault="00FB4E8B" w:rsidP="00AB00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F4823">
        <w:rPr>
          <w:rFonts w:ascii="Times New Roman" w:eastAsia="Calibri" w:hAnsi="Times New Roman"/>
          <w:color w:val="auto"/>
          <w:sz w:val="32"/>
          <w:szCs w:val="32"/>
          <w:lang w:eastAsia="en-US"/>
        </w:rPr>
        <w:t>Билет, ситуационная задача и практический навык выбираются аттестуемым из предложенного комплекта.</w:t>
      </w:r>
    </w:p>
    <w:sectPr w:rsidR="00BF3750" w:rsidRPr="00C42A06">
      <w:pgSz w:w="11906" w:h="16838"/>
      <w:pgMar w:top="567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4345"/>
    <w:multiLevelType w:val="multilevel"/>
    <w:tmpl w:val="C97AD5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227F"/>
    <w:multiLevelType w:val="hybridMultilevel"/>
    <w:tmpl w:val="ABCE6AAC"/>
    <w:lvl w:ilvl="0" w:tplc="C33202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340"/>
    <w:multiLevelType w:val="multilevel"/>
    <w:tmpl w:val="D506F3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EC5989"/>
    <w:multiLevelType w:val="multilevel"/>
    <w:tmpl w:val="51708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D652D6"/>
    <w:multiLevelType w:val="hybridMultilevel"/>
    <w:tmpl w:val="195C51E8"/>
    <w:lvl w:ilvl="0" w:tplc="F3908F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49B9"/>
    <w:multiLevelType w:val="multilevel"/>
    <w:tmpl w:val="F2B21B78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000000" w:themeColor="text1"/>
        <w:sz w:val="28"/>
        <w:u w:color="000000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44F119D7"/>
    <w:multiLevelType w:val="multilevel"/>
    <w:tmpl w:val="20B40D1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A2772A0"/>
    <w:multiLevelType w:val="hybridMultilevel"/>
    <w:tmpl w:val="F912BD98"/>
    <w:lvl w:ilvl="0" w:tplc="E60E5876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98" w:hanging="360"/>
      </w:pPr>
    </w:lvl>
    <w:lvl w:ilvl="2" w:tplc="2000001B">
      <w:start w:val="1"/>
      <w:numFmt w:val="lowerRoman"/>
      <w:lvlText w:val="%3."/>
      <w:lvlJc w:val="right"/>
      <w:pPr>
        <w:ind w:left="2118" w:hanging="180"/>
      </w:pPr>
    </w:lvl>
    <w:lvl w:ilvl="3" w:tplc="2000000F">
      <w:start w:val="1"/>
      <w:numFmt w:val="decimal"/>
      <w:lvlText w:val="%4."/>
      <w:lvlJc w:val="left"/>
      <w:pPr>
        <w:ind w:left="2838" w:hanging="360"/>
      </w:pPr>
    </w:lvl>
    <w:lvl w:ilvl="4" w:tplc="20000019">
      <w:start w:val="1"/>
      <w:numFmt w:val="lowerLetter"/>
      <w:lvlText w:val="%5."/>
      <w:lvlJc w:val="left"/>
      <w:pPr>
        <w:ind w:left="3558" w:hanging="360"/>
      </w:pPr>
    </w:lvl>
    <w:lvl w:ilvl="5" w:tplc="2000001B">
      <w:start w:val="1"/>
      <w:numFmt w:val="lowerRoman"/>
      <w:lvlText w:val="%6."/>
      <w:lvlJc w:val="right"/>
      <w:pPr>
        <w:ind w:left="4278" w:hanging="180"/>
      </w:pPr>
    </w:lvl>
    <w:lvl w:ilvl="6" w:tplc="2000000F">
      <w:start w:val="1"/>
      <w:numFmt w:val="decimal"/>
      <w:lvlText w:val="%7."/>
      <w:lvlJc w:val="left"/>
      <w:pPr>
        <w:ind w:left="4998" w:hanging="360"/>
      </w:pPr>
    </w:lvl>
    <w:lvl w:ilvl="7" w:tplc="20000019">
      <w:start w:val="1"/>
      <w:numFmt w:val="lowerLetter"/>
      <w:lvlText w:val="%8."/>
      <w:lvlJc w:val="left"/>
      <w:pPr>
        <w:ind w:left="5718" w:hanging="360"/>
      </w:pPr>
    </w:lvl>
    <w:lvl w:ilvl="8" w:tplc="2000001B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53AD687D"/>
    <w:multiLevelType w:val="multilevel"/>
    <w:tmpl w:val="A48C161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1469F"/>
    <w:multiLevelType w:val="multilevel"/>
    <w:tmpl w:val="F4FAAD5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8613EA"/>
    <w:multiLevelType w:val="multilevel"/>
    <w:tmpl w:val="7E10CE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C0048"/>
    <w:multiLevelType w:val="hybridMultilevel"/>
    <w:tmpl w:val="D7823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62"/>
    <w:rsid w:val="00015CFD"/>
    <w:rsid w:val="000204E0"/>
    <w:rsid w:val="00025437"/>
    <w:rsid w:val="00044E74"/>
    <w:rsid w:val="00062C2F"/>
    <w:rsid w:val="000A2275"/>
    <w:rsid w:val="000A7B2C"/>
    <w:rsid w:val="000D44E3"/>
    <w:rsid w:val="00102DA5"/>
    <w:rsid w:val="00153D45"/>
    <w:rsid w:val="0017238A"/>
    <w:rsid w:val="001A5022"/>
    <w:rsid w:val="001A6C88"/>
    <w:rsid w:val="001B1F81"/>
    <w:rsid w:val="001C4195"/>
    <w:rsid w:val="00204A4E"/>
    <w:rsid w:val="002107F3"/>
    <w:rsid w:val="00221D12"/>
    <w:rsid w:val="00236BD8"/>
    <w:rsid w:val="00254C41"/>
    <w:rsid w:val="00260CA7"/>
    <w:rsid w:val="0027247D"/>
    <w:rsid w:val="00290BFB"/>
    <w:rsid w:val="002A2A67"/>
    <w:rsid w:val="002F1579"/>
    <w:rsid w:val="00316E72"/>
    <w:rsid w:val="003202C8"/>
    <w:rsid w:val="00342785"/>
    <w:rsid w:val="00347C98"/>
    <w:rsid w:val="00363048"/>
    <w:rsid w:val="00383DC1"/>
    <w:rsid w:val="003924A9"/>
    <w:rsid w:val="00394735"/>
    <w:rsid w:val="003A6CD4"/>
    <w:rsid w:val="003B2723"/>
    <w:rsid w:val="003D0EBC"/>
    <w:rsid w:val="003E1DB0"/>
    <w:rsid w:val="003E27FE"/>
    <w:rsid w:val="0043203E"/>
    <w:rsid w:val="00455F82"/>
    <w:rsid w:val="00461864"/>
    <w:rsid w:val="00486D62"/>
    <w:rsid w:val="004B365C"/>
    <w:rsid w:val="004D3341"/>
    <w:rsid w:val="004E0A0E"/>
    <w:rsid w:val="004F45C7"/>
    <w:rsid w:val="004F4F88"/>
    <w:rsid w:val="005040CE"/>
    <w:rsid w:val="00505889"/>
    <w:rsid w:val="00506407"/>
    <w:rsid w:val="00522077"/>
    <w:rsid w:val="00587E27"/>
    <w:rsid w:val="0059799F"/>
    <w:rsid w:val="005B14A9"/>
    <w:rsid w:val="005B772E"/>
    <w:rsid w:val="005B7DA7"/>
    <w:rsid w:val="00654FCD"/>
    <w:rsid w:val="006712FA"/>
    <w:rsid w:val="00684977"/>
    <w:rsid w:val="00696777"/>
    <w:rsid w:val="006B3B1B"/>
    <w:rsid w:val="006B636B"/>
    <w:rsid w:val="006C47E0"/>
    <w:rsid w:val="006C77D3"/>
    <w:rsid w:val="00702107"/>
    <w:rsid w:val="00705230"/>
    <w:rsid w:val="0071454C"/>
    <w:rsid w:val="007242BD"/>
    <w:rsid w:val="00735933"/>
    <w:rsid w:val="00740DF9"/>
    <w:rsid w:val="00741E15"/>
    <w:rsid w:val="00787E25"/>
    <w:rsid w:val="00791FF4"/>
    <w:rsid w:val="00796248"/>
    <w:rsid w:val="007C0215"/>
    <w:rsid w:val="007C7867"/>
    <w:rsid w:val="007D39DD"/>
    <w:rsid w:val="008211BE"/>
    <w:rsid w:val="008257FC"/>
    <w:rsid w:val="00846372"/>
    <w:rsid w:val="0086764F"/>
    <w:rsid w:val="00874392"/>
    <w:rsid w:val="008758BD"/>
    <w:rsid w:val="00875C67"/>
    <w:rsid w:val="0089284B"/>
    <w:rsid w:val="0089360E"/>
    <w:rsid w:val="008A1737"/>
    <w:rsid w:val="008E2D1C"/>
    <w:rsid w:val="009216FE"/>
    <w:rsid w:val="0093588E"/>
    <w:rsid w:val="0097062B"/>
    <w:rsid w:val="009872FF"/>
    <w:rsid w:val="009959E6"/>
    <w:rsid w:val="009B69B1"/>
    <w:rsid w:val="009D4C46"/>
    <w:rsid w:val="009D7FCF"/>
    <w:rsid w:val="00A335BF"/>
    <w:rsid w:val="00A66C38"/>
    <w:rsid w:val="00AB00A8"/>
    <w:rsid w:val="00AB4473"/>
    <w:rsid w:val="00AD04AE"/>
    <w:rsid w:val="00AD4786"/>
    <w:rsid w:val="00B012BF"/>
    <w:rsid w:val="00B20C66"/>
    <w:rsid w:val="00B349AF"/>
    <w:rsid w:val="00BA4E83"/>
    <w:rsid w:val="00BB6ABE"/>
    <w:rsid w:val="00BD010A"/>
    <w:rsid w:val="00BD3D7C"/>
    <w:rsid w:val="00BD5456"/>
    <w:rsid w:val="00BD56E2"/>
    <w:rsid w:val="00BE1445"/>
    <w:rsid w:val="00BF3750"/>
    <w:rsid w:val="00BF380C"/>
    <w:rsid w:val="00C0671F"/>
    <w:rsid w:val="00C12379"/>
    <w:rsid w:val="00C13712"/>
    <w:rsid w:val="00C416FA"/>
    <w:rsid w:val="00C521CA"/>
    <w:rsid w:val="00C550AE"/>
    <w:rsid w:val="00C82F0B"/>
    <w:rsid w:val="00D1355E"/>
    <w:rsid w:val="00D14AF8"/>
    <w:rsid w:val="00D14D20"/>
    <w:rsid w:val="00D33B6A"/>
    <w:rsid w:val="00D43263"/>
    <w:rsid w:val="00D509D4"/>
    <w:rsid w:val="00D572ED"/>
    <w:rsid w:val="00D63400"/>
    <w:rsid w:val="00D67A81"/>
    <w:rsid w:val="00D77B02"/>
    <w:rsid w:val="00D8366C"/>
    <w:rsid w:val="00DA1020"/>
    <w:rsid w:val="00DC21A1"/>
    <w:rsid w:val="00DD0AED"/>
    <w:rsid w:val="00E500F9"/>
    <w:rsid w:val="00E61642"/>
    <w:rsid w:val="00E87B30"/>
    <w:rsid w:val="00EB0C9D"/>
    <w:rsid w:val="00ED0F0F"/>
    <w:rsid w:val="00EE0C14"/>
    <w:rsid w:val="00EE3A3A"/>
    <w:rsid w:val="00EF3278"/>
    <w:rsid w:val="00F00845"/>
    <w:rsid w:val="00F060E9"/>
    <w:rsid w:val="00F06F28"/>
    <w:rsid w:val="00F11CB9"/>
    <w:rsid w:val="00F2498A"/>
    <w:rsid w:val="00F9464B"/>
    <w:rsid w:val="00F95B0A"/>
    <w:rsid w:val="00FA03A9"/>
    <w:rsid w:val="00FA688C"/>
    <w:rsid w:val="00FB4E8B"/>
    <w:rsid w:val="00F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2DF5B-DD92-49C7-AD9C-D8341CE9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35933"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2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2"/>
    <w:link w:val="7"/>
    <w:rPr>
      <w:rFonts w:ascii="XO Thames" w:hAnsi="XO Thames"/>
      <w:sz w:val="28"/>
    </w:rPr>
  </w:style>
  <w:style w:type="paragraph" w:customStyle="1" w:styleId="split-by-words">
    <w:name w:val="split-by-words"/>
    <w:basedOn w:val="a"/>
    <w:link w:val="split-by-words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plit-by-words0">
    <w:name w:val="split-by-words"/>
    <w:basedOn w:val="12"/>
    <w:link w:val="split-by-words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mbria" w:hAnsi="Cambria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2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  <w:jc w:val="both"/>
    </w:pPr>
    <w:rPr>
      <w:rFonts w:ascii="Calibri" w:hAnsi="Calibri"/>
    </w:rPr>
  </w:style>
  <w:style w:type="character" w:customStyle="1" w:styleId="14">
    <w:name w:val="Абзац списка1"/>
    <w:basedOn w:val="12"/>
    <w:link w:val="13"/>
    <w:rPr>
      <w:rFonts w:ascii="Calibri" w:hAnsi="Calibri"/>
    </w:rPr>
  </w:style>
  <w:style w:type="paragraph" w:styleId="23">
    <w:name w:val="Body Text Indent 2"/>
    <w:basedOn w:val="a"/>
    <w:link w:val="24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4">
    <w:name w:val="Основной текст с отступом 2 Знак"/>
    <w:basedOn w:val="12"/>
    <w:link w:val="23"/>
    <w:rPr>
      <w:rFonts w:ascii="Arial" w:hAnsi="Arial"/>
      <w:sz w:val="20"/>
    </w:rPr>
  </w:style>
  <w:style w:type="paragraph" w:styleId="a3">
    <w:name w:val="Body Text"/>
    <w:basedOn w:val="a"/>
    <w:link w:val="a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12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basedOn w:val="12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2"/>
    <w:link w:val="10"/>
    <w:rPr>
      <w:rFonts w:ascii="XO Thames" w:hAnsi="XO Thames"/>
      <w:b/>
      <w:sz w:val="3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2"/>
    <w:link w:val="a5"/>
    <w:rPr>
      <w:rFonts w:ascii="Segoe UI" w:hAnsi="Segoe UI"/>
      <w:sz w:val="18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basedOn w:val="12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2"/>
    <w:link w:val="9"/>
    <w:rPr>
      <w:rFonts w:ascii="XO Thames" w:hAnsi="XO Thames"/>
      <w:sz w:val="28"/>
    </w:rPr>
  </w:style>
  <w:style w:type="paragraph" w:customStyle="1" w:styleId="word-wrapper">
    <w:name w:val="word-wrapper"/>
    <w:basedOn w:val="18"/>
    <w:link w:val="word-wrapper0"/>
  </w:style>
  <w:style w:type="character" w:customStyle="1" w:styleId="word-wrapper0">
    <w:name w:val="word-wrapper"/>
    <w:basedOn w:val="a0"/>
    <w:link w:val="word-wrapper"/>
  </w:style>
  <w:style w:type="paragraph" w:customStyle="1" w:styleId="FontStyle20">
    <w:name w:val="Font Style20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link w:val="FontStyle20"/>
    <w:rPr>
      <w:rFonts w:ascii="Times New Roman" w:hAnsi="Times New Roman"/>
      <w:sz w:val="26"/>
    </w:rPr>
  </w:style>
  <w:style w:type="paragraph" w:customStyle="1" w:styleId="Style15">
    <w:name w:val="Style15"/>
    <w:basedOn w:val="a"/>
    <w:link w:val="Style150"/>
    <w:pPr>
      <w:widowControl w:val="0"/>
      <w:spacing w:after="0" w:line="322" w:lineRule="exact"/>
      <w:ind w:firstLine="696"/>
      <w:jc w:val="both"/>
    </w:pPr>
    <w:rPr>
      <w:rFonts w:ascii="Times New Roman" w:hAnsi="Times New Roman"/>
      <w:sz w:val="24"/>
    </w:rPr>
  </w:style>
  <w:style w:type="character" w:customStyle="1" w:styleId="Style150">
    <w:name w:val="Style15"/>
    <w:basedOn w:val="12"/>
    <w:link w:val="Style15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2"/>
    <w:link w:val="8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2"/>
    <w:link w:val="a8"/>
    <w:rPr>
      <w:rFonts w:ascii="Times New Roman" w:hAnsi="Times New Roman"/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before="120" w:after="660" w:line="283" w:lineRule="exact"/>
      <w:jc w:val="both"/>
    </w:pPr>
    <w:rPr>
      <w:rFonts w:ascii="Times New Roman" w:hAnsi="Times New Roman"/>
      <w:sz w:val="30"/>
    </w:rPr>
  </w:style>
  <w:style w:type="character" w:customStyle="1" w:styleId="26">
    <w:name w:val="Основной текст (2)"/>
    <w:basedOn w:val="12"/>
    <w:link w:val="25"/>
    <w:rPr>
      <w:rFonts w:ascii="Times New Roman" w:hAnsi="Times New Roman"/>
      <w:sz w:val="30"/>
    </w:rPr>
  </w:style>
  <w:style w:type="paragraph" w:customStyle="1" w:styleId="18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2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basedOn w:val="12"/>
    <w:link w:val="aa"/>
    <w:uiPriority w:val="34"/>
  </w:style>
  <w:style w:type="paragraph" w:customStyle="1" w:styleId="19">
    <w:name w:val="Обычный1"/>
    <w:link w:val="1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1">
    <w:name w:val="Обычный1"/>
    <w:link w:val="19"/>
    <w:rPr>
      <w:rFonts w:ascii="Times New Roman" w:hAnsi="Times New Roman"/>
      <w:sz w:val="20"/>
    </w:rPr>
  </w:style>
  <w:style w:type="paragraph" w:customStyle="1" w:styleId="fake-non-breaking-space">
    <w:name w:val="fake-non-breaking-space"/>
    <w:basedOn w:val="18"/>
    <w:link w:val="fake-non-breaking-space0"/>
  </w:style>
  <w:style w:type="character" w:customStyle="1" w:styleId="fake-non-breaking-space0">
    <w:name w:val="fake-non-breaking-space"/>
    <w:basedOn w:val="a0"/>
    <w:link w:val="fake-non-breaking-space"/>
  </w:style>
  <w:style w:type="paragraph" w:customStyle="1" w:styleId="il-text-indent095cm">
    <w:name w:val="il-text-indent_0_95cm"/>
    <w:basedOn w:val="a"/>
    <w:link w:val="il-text-indent095cm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il-text-indent095cm0">
    <w:name w:val="il-text-indent_0_95cm"/>
    <w:basedOn w:val="12"/>
    <w:link w:val="il-text-indent095cm"/>
    <w:rPr>
      <w:rFonts w:ascii="Times New Roman" w:hAnsi="Times New Roman"/>
      <w:sz w:val="24"/>
    </w:rPr>
  </w:style>
  <w:style w:type="paragraph" w:styleId="ac">
    <w:name w:val="Subtitle"/>
    <w:basedOn w:val="a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basedOn w:val="12"/>
    <w:link w:val="ac"/>
    <w:rPr>
      <w:rFonts w:ascii="XO Thames" w:hAnsi="XO Thames"/>
      <w:i/>
      <w:sz w:val="24"/>
    </w:rPr>
  </w:style>
  <w:style w:type="paragraph" w:customStyle="1" w:styleId="FontStyle12">
    <w:name w:val="Font Style12"/>
    <w:basedOn w:val="18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ae">
    <w:name w:val="Title"/>
    <w:basedOn w:val="a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basedOn w:val="12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XO Thames" w:hAnsi="XO Thames"/>
      <w:b/>
      <w:sz w:val="28"/>
    </w:rPr>
  </w:style>
  <w:style w:type="table" w:customStyle="1" w:styleId="1a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f0"/>
    <w:uiPriority w:val="59"/>
    <w:rsid w:val="00C13712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normal">
    <w:name w:val="p-normal"/>
    <w:basedOn w:val="a"/>
    <w:rsid w:val="0002543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olor0000ff">
    <w:name w:val="color__0000ff"/>
    <w:basedOn w:val="a0"/>
    <w:rsid w:val="00025437"/>
  </w:style>
  <w:style w:type="character" w:customStyle="1" w:styleId="colorff00ff">
    <w:name w:val="color__ff00ff"/>
    <w:basedOn w:val="a0"/>
    <w:rsid w:val="00025437"/>
  </w:style>
  <w:style w:type="paragraph" w:customStyle="1" w:styleId="ConsPlusNonformat">
    <w:name w:val="ConsPlusNonformat"/>
    <w:uiPriority w:val="99"/>
    <w:rsid w:val="008936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32D7-7624-4F77-BBE6-0B3F9D9B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Татьяна Кукса</cp:lastModifiedBy>
  <cp:revision>63</cp:revision>
  <cp:lastPrinted>2025-09-17T11:35:00Z</cp:lastPrinted>
  <dcterms:created xsi:type="dcterms:W3CDTF">2024-02-27T13:28:00Z</dcterms:created>
  <dcterms:modified xsi:type="dcterms:W3CDTF">2026-04-15T05:16:00Z</dcterms:modified>
</cp:coreProperties>
</file>